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FA97" w14:textId="0F4A8A84" w:rsidR="00972D70" w:rsidRDefault="00972D70" w:rsidP="00A30FF6">
      <w:pPr>
        <w:spacing w:after="0"/>
        <w:jc w:val="center"/>
        <w:rPr>
          <w:b/>
          <w:bCs/>
          <w:sz w:val="28"/>
          <w:szCs w:val="28"/>
        </w:rPr>
      </w:pPr>
      <w:r w:rsidRPr="00B958C4">
        <w:rPr>
          <w:b/>
          <w:bCs/>
          <w:sz w:val="28"/>
          <w:szCs w:val="28"/>
        </w:rPr>
        <w:t xml:space="preserve">Indiana School Choice </w:t>
      </w:r>
      <w:r w:rsidR="003A1935">
        <w:rPr>
          <w:b/>
          <w:bCs/>
          <w:sz w:val="28"/>
          <w:szCs w:val="28"/>
        </w:rPr>
        <w:t>Scholarship “</w:t>
      </w:r>
      <w:r w:rsidRPr="00B958C4">
        <w:rPr>
          <w:b/>
          <w:bCs/>
          <w:sz w:val="28"/>
          <w:szCs w:val="28"/>
        </w:rPr>
        <w:t>Voucher</w:t>
      </w:r>
      <w:r w:rsidR="003A1935">
        <w:rPr>
          <w:b/>
          <w:bCs/>
          <w:sz w:val="28"/>
          <w:szCs w:val="28"/>
        </w:rPr>
        <w:t>”</w:t>
      </w:r>
    </w:p>
    <w:p w14:paraId="29FC5743" w14:textId="4E129133" w:rsidR="00A30FF6" w:rsidRDefault="006A107C" w:rsidP="00A22999">
      <w:pPr>
        <w:spacing w:after="0"/>
        <w:jc w:val="center"/>
        <w:rPr>
          <w:b/>
          <w:bCs/>
          <w:sz w:val="28"/>
          <w:szCs w:val="28"/>
        </w:rPr>
      </w:pPr>
      <w:r>
        <w:rPr>
          <w:b/>
          <w:bCs/>
          <w:sz w:val="28"/>
          <w:szCs w:val="28"/>
        </w:rPr>
        <w:t>School Year 2022-2023</w:t>
      </w:r>
    </w:p>
    <w:p w14:paraId="584E4AF8" w14:textId="67854C77" w:rsidR="00C0745C" w:rsidRPr="001A4013" w:rsidRDefault="007B41C2" w:rsidP="001A4013">
      <w:pPr>
        <w:spacing w:after="0"/>
        <w:jc w:val="center"/>
        <w:rPr>
          <w:b/>
          <w:bCs/>
          <w:sz w:val="28"/>
          <w:szCs w:val="28"/>
        </w:rPr>
      </w:pPr>
      <w:r>
        <w:rPr>
          <w:b/>
          <w:bCs/>
          <w:sz w:val="28"/>
          <w:szCs w:val="28"/>
        </w:rPr>
        <w:t>(March 1, 2022)</w:t>
      </w:r>
    </w:p>
    <w:p w14:paraId="008A2813" w14:textId="0461C212" w:rsidR="00A30FF6" w:rsidRDefault="006A107C" w:rsidP="00C0745C">
      <w:pPr>
        <w:spacing w:after="0"/>
        <w:rPr>
          <w:sz w:val="24"/>
          <w:szCs w:val="24"/>
        </w:rPr>
      </w:pPr>
      <w:r>
        <w:rPr>
          <w:sz w:val="24"/>
          <w:szCs w:val="24"/>
        </w:rPr>
        <w:t>On July 1, 2021, t</w:t>
      </w:r>
      <w:r w:rsidR="00972D70">
        <w:rPr>
          <w:sz w:val="24"/>
          <w:szCs w:val="24"/>
        </w:rPr>
        <w:t>he State</w:t>
      </w:r>
      <w:r>
        <w:rPr>
          <w:sz w:val="24"/>
          <w:szCs w:val="24"/>
        </w:rPr>
        <w:t xml:space="preserve"> of Indiana</w:t>
      </w:r>
      <w:r w:rsidR="00972D70">
        <w:rPr>
          <w:sz w:val="24"/>
          <w:szCs w:val="24"/>
        </w:rPr>
        <w:t xml:space="preserve"> passed an expansion to the Indiana School Choice </w:t>
      </w:r>
      <w:r w:rsidR="003A1935">
        <w:rPr>
          <w:sz w:val="24"/>
          <w:szCs w:val="24"/>
        </w:rPr>
        <w:t xml:space="preserve">Scholarship </w:t>
      </w:r>
      <w:r w:rsidR="00972D70">
        <w:rPr>
          <w:sz w:val="24"/>
          <w:szCs w:val="24"/>
        </w:rPr>
        <w:t>“Voucher” program</w:t>
      </w:r>
      <w:r w:rsidR="00A47BF6">
        <w:rPr>
          <w:sz w:val="24"/>
          <w:szCs w:val="24"/>
        </w:rPr>
        <w:t xml:space="preserve">.  </w:t>
      </w:r>
      <w:r w:rsidR="00092E02">
        <w:rPr>
          <w:sz w:val="24"/>
          <w:szCs w:val="24"/>
        </w:rPr>
        <w:t xml:space="preserve">Here is the </w:t>
      </w:r>
      <w:r w:rsidR="007B41C2">
        <w:rPr>
          <w:sz w:val="24"/>
          <w:szCs w:val="24"/>
        </w:rPr>
        <w:t>current</w:t>
      </w:r>
      <w:r w:rsidR="00092E02">
        <w:rPr>
          <w:sz w:val="24"/>
          <w:szCs w:val="24"/>
        </w:rPr>
        <w:t xml:space="preserve"> information for the 2022-2023 school year.</w:t>
      </w:r>
    </w:p>
    <w:p w14:paraId="442C4DDD" w14:textId="77777777" w:rsidR="00C0745C" w:rsidRDefault="00C0745C" w:rsidP="00C0745C">
      <w:pPr>
        <w:spacing w:after="0"/>
        <w:rPr>
          <w:sz w:val="24"/>
          <w:szCs w:val="24"/>
        </w:rPr>
      </w:pPr>
    </w:p>
    <w:p w14:paraId="39D8731D" w14:textId="645E3114" w:rsidR="003D0B42" w:rsidRDefault="00972D70" w:rsidP="00C0745C">
      <w:pPr>
        <w:pStyle w:val="ListParagraph"/>
        <w:numPr>
          <w:ilvl w:val="0"/>
          <w:numId w:val="4"/>
        </w:numPr>
        <w:spacing w:after="0"/>
        <w:rPr>
          <w:sz w:val="24"/>
          <w:szCs w:val="24"/>
        </w:rPr>
      </w:pPr>
      <w:r>
        <w:rPr>
          <w:rFonts w:cstheme="minorHAnsi"/>
        </w:rPr>
        <w:t xml:space="preserve"> </w:t>
      </w:r>
      <w:r w:rsidRPr="00972D70">
        <w:rPr>
          <w:rFonts w:cstheme="minorHAnsi"/>
          <w:b/>
          <w:bCs/>
          <w:sz w:val="24"/>
          <w:szCs w:val="24"/>
        </w:rPr>
        <w:t xml:space="preserve">A single school choice voucher tier </w:t>
      </w:r>
      <w:r w:rsidR="00D8124A">
        <w:rPr>
          <w:rFonts w:cstheme="minorHAnsi"/>
          <w:b/>
          <w:bCs/>
          <w:sz w:val="24"/>
          <w:szCs w:val="24"/>
        </w:rPr>
        <w:t>is</w:t>
      </w:r>
      <w:r w:rsidRPr="00972D70">
        <w:rPr>
          <w:rFonts w:cstheme="minorHAnsi"/>
          <w:b/>
          <w:bCs/>
          <w:sz w:val="24"/>
          <w:szCs w:val="24"/>
        </w:rPr>
        <w:t xml:space="preserve"> in effect.</w:t>
      </w:r>
      <w:r w:rsidRPr="00972D70">
        <w:rPr>
          <w:sz w:val="24"/>
          <w:szCs w:val="24"/>
        </w:rPr>
        <w:t xml:space="preserve"> Every family that qualifies for a school choice voucher will automatically receive the highest school choice voucher level for their school district.  </w:t>
      </w:r>
    </w:p>
    <w:p w14:paraId="0C8DC3B4" w14:textId="77777777" w:rsidR="00D22952" w:rsidRPr="003A1935" w:rsidRDefault="00D22952" w:rsidP="003A1935">
      <w:pPr>
        <w:spacing w:after="0"/>
        <w:ind w:left="45"/>
        <w:rPr>
          <w:sz w:val="24"/>
          <w:szCs w:val="24"/>
        </w:rPr>
      </w:pPr>
    </w:p>
    <w:p w14:paraId="63B24A5B" w14:textId="23C0A94C" w:rsidR="00D22952" w:rsidRPr="00D22952" w:rsidRDefault="00D22952" w:rsidP="00C0745C">
      <w:pPr>
        <w:pStyle w:val="ListParagraph"/>
        <w:numPr>
          <w:ilvl w:val="0"/>
          <w:numId w:val="4"/>
        </w:numPr>
        <w:spacing w:after="0"/>
        <w:rPr>
          <w:b/>
          <w:bCs/>
          <w:sz w:val="24"/>
          <w:szCs w:val="24"/>
        </w:rPr>
      </w:pPr>
      <w:r w:rsidRPr="00D22952">
        <w:rPr>
          <w:rFonts w:eastAsia="Times New Roman" w:cstheme="minorHAnsi"/>
          <w:b/>
          <w:bCs/>
          <w:sz w:val="24"/>
          <w:szCs w:val="24"/>
        </w:rPr>
        <w:t xml:space="preserve">To be eligible for a school choice voucher, a student must meet the income requirements AND </w:t>
      </w:r>
      <w:r w:rsidR="00D87D9B">
        <w:rPr>
          <w:rFonts w:eastAsia="Times New Roman" w:cstheme="minorHAnsi"/>
          <w:b/>
          <w:bCs/>
          <w:sz w:val="24"/>
          <w:szCs w:val="24"/>
        </w:rPr>
        <w:t xml:space="preserve">one of </w:t>
      </w:r>
      <w:r w:rsidRPr="00D22952">
        <w:rPr>
          <w:rFonts w:eastAsia="Times New Roman" w:cstheme="minorHAnsi"/>
          <w:b/>
          <w:bCs/>
          <w:sz w:val="24"/>
          <w:szCs w:val="24"/>
        </w:rPr>
        <w:t>the Eligibility Track</w:t>
      </w:r>
      <w:r w:rsidR="00D87D9B">
        <w:rPr>
          <w:rFonts w:eastAsia="Times New Roman" w:cstheme="minorHAnsi"/>
          <w:b/>
          <w:bCs/>
          <w:sz w:val="24"/>
          <w:szCs w:val="24"/>
        </w:rPr>
        <w:t>s</w:t>
      </w:r>
      <w:r>
        <w:rPr>
          <w:rFonts w:eastAsia="Times New Roman" w:cstheme="minorHAnsi"/>
          <w:b/>
          <w:bCs/>
          <w:sz w:val="24"/>
          <w:szCs w:val="24"/>
        </w:rPr>
        <w:t>.</w:t>
      </w:r>
    </w:p>
    <w:p w14:paraId="16C79388" w14:textId="77777777" w:rsidR="00D8124A" w:rsidRPr="00D8124A" w:rsidRDefault="00D8124A" w:rsidP="00C0745C">
      <w:pPr>
        <w:pStyle w:val="ListParagraph"/>
        <w:spacing w:after="0"/>
        <w:ind w:left="405"/>
        <w:rPr>
          <w:sz w:val="24"/>
          <w:szCs w:val="24"/>
        </w:rPr>
      </w:pPr>
    </w:p>
    <w:p w14:paraId="7EDD925B" w14:textId="5AA96D55" w:rsidR="00E0781A" w:rsidRPr="00C0745C" w:rsidRDefault="00972D70" w:rsidP="00C0745C">
      <w:pPr>
        <w:pStyle w:val="ListParagraph"/>
        <w:numPr>
          <w:ilvl w:val="0"/>
          <w:numId w:val="4"/>
        </w:numPr>
        <w:spacing w:after="0"/>
        <w:rPr>
          <w:rFonts w:eastAsia="Times New Roman" w:cstheme="minorHAnsi"/>
          <w:b/>
          <w:bCs/>
          <w:sz w:val="24"/>
          <w:szCs w:val="24"/>
        </w:rPr>
      </w:pPr>
      <w:r w:rsidRPr="009C35A9">
        <w:rPr>
          <w:rFonts w:eastAsia="Times New Roman" w:cstheme="minorHAnsi"/>
          <w:sz w:val="24"/>
          <w:szCs w:val="24"/>
        </w:rPr>
        <w:t>The</w:t>
      </w:r>
      <w:r w:rsidRPr="00A30FF6">
        <w:rPr>
          <w:rFonts w:eastAsia="Times New Roman" w:cstheme="minorHAnsi"/>
          <w:b/>
          <w:bCs/>
          <w:sz w:val="24"/>
          <w:szCs w:val="24"/>
        </w:rPr>
        <w:t xml:space="preserve"> income limits </w:t>
      </w:r>
      <w:r w:rsidR="00092E02" w:rsidRPr="009C35A9">
        <w:rPr>
          <w:rFonts w:eastAsia="Times New Roman" w:cstheme="minorHAnsi"/>
          <w:sz w:val="24"/>
          <w:szCs w:val="24"/>
        </w:rPr>
        <w:t xml:space="preserve">are </w:t>
      </w:r>
      <w:r w:rsidRPr="009C35A9">
        <w:rPr>
          <w:rFonts w:eastAsia="Times New Roman" w:cstheme="minorHAnsi"/>
          <w:sz w:val="24"/>
          <w:szCs w:val="24"/>
        </w:rPr>
        <w:t>as outlined below</w:t>
      </w:r>
      <w:r w:rsidRPr="00A30FF6">
        <w:rPr>
          <w:rFonts w:eastAsia="Times New Roman" w:cstheme="minorHAnsi"/>
          <w:b/>
          <w:bCs/>
          <w:sz w:val="24"/>
          <w:szCs w:val="24"/>
        </w:rPr>
        <w:t>.</w:t>
      </w:r>
    </w:p>
    <w:tbl>
      <w:tblPr>
        <w:tblStyle w:val="TableGrid"/>
        <w:tblW w:w="0" w:type="auto"/>
        <w:tblInd w:w="1510" w:type="dxa"/>
        <w:tblLook w:val="04A0" w:firstRow="1" w:lastRow="0" w:firstColumn="1" w:lastColumn="0" w:noHBand="0" w:noVBand="1"/>
      </w:tblPr>
      <w:tblGrid>
        <w:gridCol w:w="2085"/>
        <w:gridCol w:w="5040"/>
      </w:tblGrid>
      <w:tr w:rsidR="00E0781A" w:rsidRPr="00806886" w14:paraId="25BA8E75" w14:textId="77777777" w:rsidTr="001244C9">
        <w:trPr>
          <w:trHeight w:val="493"/>
        </w:trPr>
        <w:tc>
          <w:tcPr>
            <w:tcW w:w="2085" w:type="dxa"/>
          </w:tcPr>
          <w:p w14:paraId="7BBE7F21" w14:textId="77777777" w:rsidR="00E0781A" w:rsidRPr="00C2528B" w:rsidRDefault="00E0781A" w:rsidP="00CF2587">
            <w:pPr>
              <w:rPr>
                <w:b/>
                <w:bCs/>
                <w:sz w:val="28"/>
                <w:szCs w:val="28"/>
              </w:rPr>
            </w:pPr>
            <w:r w:rsidRPr="00C2528B">
              <w:rPr>
                <w:b/>
                <w:bCs/>
                <w:sz w:val="28"/>
                <w:szCs w:val="28"/>
              </w:rPr>
              <w:t>Household Size</w:t>
            </w:r>
          </w:p>
        </w:tc>
        <w:tc>
          <w:tcPr>
            <w:tcW w:w="5040" w:type="dxa"/>
          </w:tcPr>
          <w:p w14:paraId="56200707" w14:textId="77777777" w:rsidR="00E0781A" w:rsidRPr="00806886" w:rsidRDefault="00E0781A" w:rsidP="00CF2587">
            <w:pPr>
              <w:rPr>
                <w:b/>
                <w:bCs/>
                <w:sz w:val="28"/>
                <w:szCs w:val="28"/>
              </w:rPr>
            </w:pPr>
            <w:r>
              <w:rPr>
                <w:b/>
                <w:bCs/>
                <w:sz w:val="28"/>
                <w:szCs w:val="28"/>
              </w:rPr>
              <w:t>300% of Reduced Lunch Eligibility</w:t>
            </w:r>
          </w:p>
        </w:tc>
      </w:tr>
      <w:tr w:rsidR="00E0781A" w:rsidRPr="00806886" w14:paraId="46D59130" w14:textId="77777777" w:rsidTr="001244C9">
        <w:trPr>
          <w:trHeight w:val="404"/>
        </w:trPr>
        <w:tc>
          <w:tcPr>
            <w:tcW w:w="2085" w:type="dxa"/>
          </w:tcPr>
          <w:p w14:paraId="00F7DC19" w14:textId="77777777" w:rsidR="00E0781A" w:rsidRPr="008A1C65" w:rsidRDefault="00E0781A" w:rsidP="00CF2587">
            <w:pPr>
              <w:rPr>
                <w:b/>
                <w:bCs/>
                <w:sz w:val="24"/>
                <w:szCs w:val="24"/>
              </w:rPr>
            </w:pPr>
            <w:r>
              <w:rPr>
                <w:b/>
                <w:bCs/>
              </w:rPr>
              <w:t>1</w:t>
            </w:r>
          </w:p>
        </w:tc>
        <w:tc>
          <w:tcPr>
            <w:tcW w:w="5040" w:type="dxa"/>
          </w:tcPr>
          <w:p w14:paraId="3FC36A66" w14:textId="47F56C55" w:rsidR="00E0781A" w:rsidRPr="00806886" w:rsidRDefault="00E0781A" w:rsidP="00CF2587">
            <w:pPr>
              <w:rPr>
                <w:b/>
                <w:bCs/>
              </w:rPr>
            </w:pPr>
            <w:r>
              <w:rPr>
                <w:b/>
                <w:bCs/>
              </w:rPr>
              <w:t>$</w:t>
            </w:r>
            <w:r w:rsidR="00AE61D3">
              <w:rPr>
                <w:b/>
                <w:bCs/>
              </w:rPr>
              <w:t xml:space="preserve"> </w:t>
            </w:r>
            <w:r w:rsidR="008A1C65">
              <w:rPr>
                <w:b/>
                <w:bCs/>
              </w:rPr>
              <w:t xml:space="preserve"> </w:t>
            </w:r>
            <w:r>
              <w:rPr>
                <w:b/>
                <w:bCs/>
              </w:rPr>
              <w:t>75,424.50</w:t>
            </w:r>
          </w:p>
        </w:tc>
      </w:tr>
      <w:tr w:rsidR="00E0781A" w:rsidRPr="00806886" w14:paraId="4A9A4004" w14:textId="77777777" w:rsidTr="001244C9">
        <w:trPr>
          <w:trHeight w:val="404"/>
        </w:trPr>
        <w:tc>
          <w:tcPr>
            <w:tcW w:w="2085" w:type="dxa"/>
          </w:tcPr>
          <w:p w14:paraId="0A2FC458" w14:textId="77777777" w:rsidR="00E0781A" w:rsidRPr="00806886" w:rsidRDefault="00E0781A" w:rsidP="00CF2587">
            <w:pPr>
              <w:rPr>
                <w:b/>
                <w:bCs/>
              </w:rPr>
            </w:pPr>
            <w:r>
              <w:rPr>
                <w:b/>
                <w:bCs/>
              </w:rPr>
              <w:t>2</w:t>
            </w:r>
          </w:p>
        </w:tc>
        <w:tc>
          <w:tcPr>
            <w:tcW w:w="5040" w:type="dxa"/>
          </w:tcPr>
          <w:p w14:paraId="658C18A4" w14:textId="77777777" w:rsidR="00E0781A" w:rsidRPr="00806886" w:rsidRDefault="00E0781A" w:rsidP="00CF2587">
            <w:pPr>
              <w:rPr>
                <w:b/>
                <w:bCs/>
              </w:rPr>
            </w:pPr>
            <w:r>
              <w:rPr>
                <w:b/>
                <w:bCs/>
              </w:rPr>
              <w:t>$101,620.50</w:t>
            </w:r>
          </w:p>
        </w:tc>
      </w:tr>
      <w:tr w:rsidR="00E0781A" w:rsidRPr="00806886" w14:paraId="266FC6AD" w14:textId="77777777" w:rsidTr="001244C9">
        <w:trPr>
          <w:trHeight w:val="381"/>
        </w:trPr>
        <w:tc>
          <w:tcPr>
            <w:tcW w:w="2085" w:type="dxa"/>
          </w:tcPr>
          <w:p w14:paraId="1A96BDA3" w14:textId="77777777" w:rsidR="00E0781A" w:rsidRPr="00806886" w:rsidRDefault="00E0781A" w:rsidP="00CF2587">
            <w:pPr>
              <w:rPr>
                <w:b/>
                <w:bCs/>
              </w:rPr>
            </w:pPr>
            <w:r>
              <w:rPr>
                <w:b/>
                <w:bCs/>
              </w:rPr>
              <w:t>3</w:t>
            </w:r>
          </w:p>
        </w:tc>
        <w:tc>
          <w:tcPr>
            <w:tcW w:w="5040" w:type="dxa"/>
          </w:tcPr>
          <w:p w14:paraId="23F5C413" w14:textId="77777777" w:rsidR="00E0781A" w:rsidRPr="00806886" w:rsidRDefault="00E0781A" w:rsidP="00CF2587">
            <w:pPr>
              <w:rPr>
                <w:b/>
                <w:bCs/>
              </w:rPr>
            </w:pPr>
            <w:r>
              <w:rPr>
                <w:b/>
                <w:bCs/>
              </w:rPr>
              <w:t>$127,816.50</w:t>
            </w:r>
          </w:p>
        </w:tc>
      </w:tr>
      <w:tr w:rsidR="00E0781A" w:rsidRPr="00806886" w14:paraId="15A51688" w14:textId="77777777" w:rsidTr="001244C9">
        <w:trPr>
          <w:trHeight w:val="404"/>
        </w:trPr>
        <w:tc>
          <w:tcPr>
            <w:tcW w:w="2085" w:type="dxa"/>
          </w:tcPr>
          <w:p w14:paraId="2925900C" w14:textId="77777777" w:rsidR="00E0781A" w:rsidRPr="00806886" w:rsidRDefault="00E0781A" w:rsidP="00CF2587">
            <w:pPr>
              <w:rPr>
                <w:b/>
                <w:bCs/>
              </w:rPr>
            </w:pPr>
            <w:r>
              <w:rPr>
                <w:b/>
                <w:bCs/>
              </w:rPr>
              <w:t>4</w:t>
            </w:r>
          </w:p>
        </w:tc>
        <w:tc>
          <w:tcPr>
            <w:tcW w:w="5040" w:type="dxa"/>
          </w:tcPr>
          <w:p w14:paraId="2113F4DA" w14:textId="77777777" w:rsidR="00E0781A" w:rsidRPr="00806886" w:rsidRDefault="00E0781A" w:rsidP="00CF2587">
            <w:pPr>
              <w:rPr>
                <w:b/>
                <w:bCs/>
              </w:rPr>
            </w:pPr>
            <w:r>
              <w:rPr>
                <w:b/>
                <w:bCs/>
              </w:rPr>
              <w:t>$154,012.50</w:t>
            </w:r>
          </w:p>
        </w:tc>
      </w:tr>
      <w:tr w:rsidR="00E0781A" w:rsidRPr="00806886" w14:paraId="5A3FAED7" w14:textId="77777777" w:rsidTr="001244C9">
        <w:trPr>
          <w:trHeight w:val="381"/>
        </w:trPr>
        <w:tc>
          <w:tcPr>
            <w:tcW w:w="2085" w:type="dxa"/>
          </w:tcPr>
          <w:p w14:paraId="795E0FE2" w14:textId="77777777" w:rsidR="00E0781A" w:rsidRPr="00806886" w:rsidRDefault="00E0781A" w:rsidP="00CF2587">
            <w:pPr>
              <w:rPr>
                <w:b/>
                <w:bCs/>
              </w:rPr>
            </w:pPr>
            <w:r>
              <w:rPr>
                <w:b/>
                <w:bCs/>
              </w:rPr>
              <w:t>5</w:t>
            </w:r>
          </w:p>
        </w:tc>
        <w:tc>
          <w:tcPr>
            <w:tcW w:w="5040" w:type="dxa"/>
          </w:tcPr>
          <w:p w14:paraId="28943EF3" w14:textId="77777777" w:rsidR="00E0781A" w:rsidRPr="00806886" w:rsidRDefault="00E0781A" w:rsidP="00CF2587">
            <w:pPr>
              <w:rPr>
                <w:b/>
                <w:bCs/>
              </w:rPr>
            </w:pPr>
            <w:r>
              <w:rPr>
                <w:b/>
                <w:bCs/>
              </w:rPr>
              <w:t>$180,208.50</w:t>
            </w:r>
          </w:p>
        </w:tc>
      </w:tr>
      <w:tr w:rsidR="00E0781A" w:rsidRPr="00806886" w14:paraId="3D8B9461" w14:textId="77777777" w:rsidTr="001244C9">
        <w:trPr>
          <w:trHeight w:val="404"/>
        </w:trPr>
        <w:tc>
          <w:tcPr>
            <w:tcW w:w="2085" w:type="dxa"/>
          </w:tcPr>
          <w:p w14:paraId="582361A5" w14:textId="77777777" w:rsidR="00E0781A" w:rsidRPr="00806886" w:rsidRDefault="00E0781A" w:rsidP="00CF2587">
            <w:pPr>
              <w:rPr>
                <w:b/>
                <w:bCs/>
              </w:rPr>
            </w:pPr>
            <w:r>
              <w:rPr>
                <w:b/>
                <w:bCs/>
              </w:rPr>
              <w:t>6</w:t>
            </w:r>
          </w:p>
        </w:tc>
        <w:tc>
          <w:tcPr>
            <w:tcW w:w="5040" w:type="dxa"/>
          </w:tcPr>
          <w:p w14:paraId="6065D43A" w14:textId="77777777" w:rsidR="00E0781A" w:rsidRPr="00806886" w:rsidRDefault="00E0781A" w:rsidP="00CF2587">
            <w:pPr>
              <w:rPr>
                <w:b/>
                <w:bCs/>
              </w:rPr>
            </w:pPr>
            <w:r>
              <w:rPr>
                <w:b/>
                <w:bCs/>
              </w:rPr>
              <w:t>$206,404.50</w:t>
            </w:r>
          </w:p>
        </w:tc>
      </w:tr>
      <w:tr w:rsidR="00E0781A" w:rsidRPr="00806886" w14:paraId="385AECF4" w14:textId="77777777" w:rsidTr="001244C9">
        <w:trPr>
          <w:trHeight w:val="381"/>
        </w:trPr>
        <w:tc>
          <w:tcPr>
            <w:tcW w:w="2085" w:type="dxa"/>
          </w:tcPr>
          <w:p w14:paraId="2EC828E1" w14:textId="77777777" w:rsidR="00E0781A" w:rsidRPr="00806886" w:rsidRDefault="00E0781A" w:rsidP="00CF2587">
            <w:pPr>
              <w:rPr>
                <w:b/>
                <w:bCs/>
              </w:rPr>
            </w:pPr>
            <w:r>
              <w:rPr>
                <w:b/>
                <w:bCs/>
              </w:rPr>
              <w:t>7</w:t>
            </w:r>
          </w:p>
        </w:tc>
        <w:tc>
          <w:tcPr>
            <w:tcW w:w="5040" w:type="dxa"/>
          </w:tcPr>
          <w:p w14:paraId="4FD4F8D5" w14:textId="77777777" w:rsidR="00E0781A" w:rsidRPr="00806886" w:rsidRDefault="00E0781A" w:rsidP="00CF2587">
            <w:pPr>
              <w:rPr>
                <w:b/>
                <w:bCs/>
              </w:rPr>
            </w:pPr>
            <w:r>
              <w:rPr>
                <w:b/>
                <w:bCs/>
              </w:rPr>
              <w:t>$232,600.50</w:t>
            </w:r>
          </w:p>
        </w:tc>
      </w:tr>
      <w:tr w:rsidR="00E0781A" w:rsidRPr="00806886" w14:paraId="16891847" w14:textId="77777777" w:rsidTr="001244C9">
        <w:trPr>
          <w:trHeight w:val="314"/>
        </w:trPr>
        <w:tc>
          <w:tcPr>
            <w:tcW w:w="2085" w:type="dxa"/>
          </w:tcPr>
          <w:p w14:paraId="134123DC" w14:textId="77777777" w:rsidR="00E0781A" w:rsidRPr="00806886" w:rsidRDefault="00E0781A" w:rsidP="00CF2587">
            <w:pPr>
              <w:rPr>
                <w:b/>
                <w:bCs/>
              </w:rPr>
            </w:pPr>
            <w:r>
              <w:rPr>
                <w:b/>
                <w:bCs/>
              </w:rPr>
              <w:t>8</w:t>
            </w:r>
          </w:p>
        </w:tc>
        <w:tc>
          <w:tcPr>
            <w:tcW w:w="5040" w:type="dxa"/>
          </w:tcPr>
          <w:p w14:paraId="450972E2" w14:textId="77777777" w:rsidR="00E0781A" w:rsidRPr="00806886" w:rsidRDefault="00E0781A" w:rsidP="00CF2587">
            <w:pPr>
              <w:rPr>
                <w:b/>
                <w:bCs/>
              </w:rPr>
            </w:pPr>
            <w:r>
              <w:rPr>
                <w:b/>
                <w:bCs/>
              </w:rPr>
              <w:t>$258,796.50</w:t>
            </w:r>
          </w:p>
        </w:tc>
      </w:tr>
    </w:tbl>
    <w:p w14:paraId="677AD826" w14:textId="2E4A6FCB" w:rsidR="00D22952" w:rsidRDefault="00D22952" w:rsidP="00C0745C">
      <w:pPr>
        <w:shd w:val="clear" w:color="auto" w:fill="FFFFFF"/>
        <w:spacing w:after="0" w:line="240" w:lineRule="auto"/>
        <w:rPr>
          <w:rFonts w:eastAsia="Times New Roman" w:cstheme="minorHAnsi"/>
          <w:sz w:val="24"/>
          <w:szCs w:val="24"/>
        </w:rPr>
      </w:pPr>
    </w:p>
    <w:p w14:paraId="1BA004FF" w14:textId="09BDDB29" w:rsidR="00972D70" w:rsidRPr="009C35A9" w:rsidRDefault="009C35A9" w:rsidP="009C35A9">
      <w:pPr>
        <w:pStyle w:val="ListParagraph"/>
        <w:numPr>
          <w:ilvl w:val="0"/>
          <w:numId w:val="4"/>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 </w:t>
      </w:r>
      <w:r w:rsidR="00972D70" w:rsidRPr="009C35A9">
        <w:rPr>
          <w:rFonts w:eastAsia="Times New Roman" w:cstheme="minorHAnsi"/>
          <w:sz w:val="24"/>
          <w:szCs w:val="24"/>
        </w:rPr>
        <w:t xml:space="preserve">The </w:t>
      </w:r>
      <w:r w:rsidR="00972D70" w:rsidRPr="009C35A9">
        <w:rPr>
          <w:rFonts w:eastAsia="Times New Roman" w:cstheme="minorHAnsi"/>
          <w:b/>
          <w:bCs/>
          <w:sz w:val="24"/>
          <w:szCs w:val="24"/>
        </w:rPr>
        <w:t>Eligibility Tracks</w:t>
      </w:r>
      <w:r w:rsidR="00972D70" w:rsidRPr="009C35A9">
        <w:rPr>
          <w:rFonts w:eastAsia="Times New Roman" w:cstheme="minorHAnsi"/>
          <w:sz w:val="24"/>
          <w:szCs w:val="24"/>
        </w:rPr>
        <w:t xml:space="preserve"> that enable a student to be eligible to participate in the Indiana School Choice Voucher Program are listed below</w:t>
      </w:r>
      <w:r w:rsidR="00A22999" w:rsidRPr="009C35A9">
        <w:rPr>
          <w:rFonts w:eastAsia="Times New Roman" w:cstheme="minorHAnsi"/>
          <w:sz w:val="24"/>
          <w:szCs w:val="24"/>
        </w:rPr>
        <w:t>:</w:t>
      </w:r>
    </w:p>
    <w:p w14:paraId="64EC7051" w14:textId="77777777" w:rsidR="00972D70" w:rsidRPr="00972D70" w:rsidRDefault="00972D70" w:rsidP="00C0745C">
      <w:pPr>
        <w:numPr>
          <w:ilvl w:val="0"/>
          <w:numId w:val="2"/>
        </w:numPr>
        <w:shd w:val="clear" w:color="auto" w:fill="FFFFFF"/>
        <w:spacing w:after="0" w:line="240" w:lineRule="auto"/>
        <w:ind w:left="1965"/>
        <w:rPr>
          <w:rFonts w:eastAsia="Times New Roman" w:cstheme="minorHAnsi"/>
          <w:sz w:val="24"/>
          <w:szCs w:val="24"/>
        </w:rPr>
      </w:pPr>
      <w:r w:rsidRPr="00972D70">
        <w:rPr>
          <w:rFonts w:eastAsia="Times New Roman" w:cstheme="minorHAnsi"/>
          <w:sz w:val="24"/>
          <w:szCs w:val="24"/>
        </w:rPr>
        <w:t>If your child or their sibling received a school choice voucher in a previous school year.</w:t>
      </w:r>
    </w:p>
    <w:p w14:paraId="5D9DD0C8" w14:textId="77777777" w:rsidR="00972D70" w:rsidRPr="00972D70" w:rsidRDefault="00972D70" w:rsidP="00972D70">
      <w:pPr>
        <w:numPr>
          <w:ilvl w:val="0"/>
          <w:numId w:val="2"/>
        </w:numPr>
        <w:shd w:val="clear" w:color="auto" w:fill="FFFFFF"/>
        <w:spacing w:before="100" w:beforeAutospacing="1" w:after="100" w:afterAutospacing="1" w:line="240" w:lineRule="auto"/>
        <w:ind w:left="1965"/>
        <w:rPr>
          <w:rFonts w:eastAsia="Times New Roman" w:cstheme="minorHAnsi"/>
          <w:sz w:val="24"/>
          <w:szCs w:val="24"/>
        </w:rPr>
      </w:pPr>
      <w:r w:rsidRPr="00972D70">
        <w:rPr>
          <w:rFonts w:eastAsia="Times New Roman" w:cstheme="minorHAnsi"/>
          <w:sz w:val="24"/>
          <w:szCs w:val="24"/>
        </w:rPr>
        <w:t>If your child or their sibling received a SGO Award in a previous school year.</w:t>
      </w:r>
    </w:p>
    <w:p w14:paraId="0A5F5E14" w14:textId="3E25E402" w:rsidR="00972D70" w:rsidRPr="00972D70" w:rsidRDefault="00972D70" w:rsidP="00972D70">
      <w:pPr>
        <w:numPr>
          <w:ilvl w:val="0"/>
          <w:numId w:val="2"/>
        </w:numPr>
        <w:shd w:val="clear" w:color="auto" w:fill="FFFFFF"/>
        <w:spacing w:before="100" w:beforeAutospacing="1" w:after="100" w:afterAutospacing="1" w:line="240" w:lineRule="auto"/>
        <w:ind w:left="1965"/>
        <w:rPr>
          <w:rFonts w:eastAsia="Times New Roman" w:cstheme="minorHAnsi"/>
          <w:sz w:val="24"/>
          <w:szCs w:val="24"/>
        </w:rPr>
      </w:pPr>
      <w:r w:rsidRPr="00972D70">
        <w:rPr>
          <w:rFonts w:eastAsia="Times New Roman" w:cstheme="minorHAnsi"/>
          <w:sz w:val="24"/>
          <w:szCs w:val="24"/>
        </w:rPr>
        <w:t>If your child was enrolled in a public school in Indiana for at least two semesters immediately preceding their enrollment at St. Barnabas.</w:t>
      </w:r>
    </w:p>
    <w:p w14:paraId="07A8DB71" w14:textId="241D3A37" w:rsidR="00972D70" w:rsidRPr="00972D70" w:rsidRDefault="00972D70" w:rsidP="00972D70">
      <w:pPr>
        <w:numPr>
          <w:ilvl w:val="0"/>
          <w:numId w:val="2"/>
        </w:numPr>
        <w:shd w:val="clear" w:color="auto" w:fill="FFFFFF"/>
        <w:spacing w:before="100" w:beforeAutospacing="1" w:after="100" w:afterAutospacing="1" w:line="240" w:lineRule="auto"/>
        <w:ind w:left="1965"/>
        <w:rPr>
          <w:rFonts w:eastAsia="Times New Roman" w:cstheme="minorHAnsi"/>
          <w:sz w:val="24"/>
          <w:szCs w:val="24"/>
        </w:rPr>
      </w:pPr>
      <w:r w:rsidRPr="00972D70">
        <w:rPr>
          <w:rFonts w:eastAsia="Times New Roman" w:cstheme="minorHAnsi"/>
          <w:sz w:val="24"/>
          <w:szCs w:val="24"/>
        </w:rPr>
        <w:t>If your child has a disability that requires an Individualized Education Plan (IEP)</w:t>
      </w:r>
      <w:r w:rsidR="003E72D8">
        <w:rPr>
          <w:rFonts w:eastAsia="Times New Roman" w:cstheme="minorHAnsi"/>
          <w:sz w:val="24"/>
          <w:szCs w:val="24"/>
        </w:rPr>
        <w:t xml:space="preserve"> or ISP</w:t>
      </w:r>
      <w:r w:rsidRPr="00972D70">
        <w:rPr>
          <w:rFonts w:eastAsia="Times New Roman" w:cstheme="minorHAnsi"/>
          <w:sz w:val="24"/>
          <w:szCs w:val="24"/>
        </w:rPr>
        <w:t xml:space="preserve"> has been developed.</w:t>
      </w:r>
    </w:p>
    <w:p w14:paraId="73F73E09" w14:textId="05A33180" w:rsidR="00972D70" w:rsidRPr="00B03CE3" w:rsidRDefault="00972D70" w:rsidP="00A30FF6">
      <w:pPr>
        <w:numPr>
          <w:ilvl w:val="0"/>
          <w:numId w:val="2"/>
        </w:numPr>
        <w:shd w:val="clear" w:color="auto" w:fill="FFFFFF"/>
        <w:spacing w:before="100" w:beforeAutospacing="1" w:after="100" w:afterAutospacing="1" w:line="240" w:lineRule="auto"/>
        <w:ind w:left="1965"/>
        <w:rPr>
          <w:rFonts w:eastAsia="Times New Roman" w:cstheme="minorHAnsi"/>
          <w:sz w:val="24"/>
          <w:szCs w:val="24"/>
        </w:rPr>
      </w:pPr>
      <w:r w:rsidRPr="00B03CE3">
        <w:rPr>
          <w:rFonts w:eastAsia="Times New Roman" w:cstheme="minorHAnsi"/>
          <w:sz w:val="24"/>
          <w:szCs w:val="24"/>
        </w:rPr>
        <w:t>If your child would be required to attend a specific public school based on his/her residence that has been assigned a “F” grade.</w:t>
      </w:r>
    </w:p>
    <w:p w14:paraId="60AEC0BB" w14:textId="171211D2" w:rsidR="00A22999" w:rsidRPr="00B03CE3" w:rsidRDefault="00A22999" w:rsidP="00A30FF6">
      <w:pPr>
        <w:numPr>
          <w:ilvl w:val="0"/>
          <w:numId w:val="2"/>
        </w:numPr>
        <w:shd w:val="clear" w:color="auto" w:fill="FFFFFF"/>
        <w:spacing w:before="100" w:beforeAutospacing="1" w:after="100" w:afterAutospacing="1" w:line="240" w:lineRule="auto"/>
        <w:ind w:left="1965"/>
        <w:rPr>
          <w:rFonts w:eastAsia="Times New Roman" w:cstheme="minorHAnsi"/>
          <w:sz w:val="24"/>
          <w:szCs w:val="24"/>
        </w:rPr>
      </w:pPr>
      <w:r w:rsidRPr="00B03CE3">
        <w:rPr>
          <w:rFonts w:eastAsia="Times New Roman" w:cstheme="minorHAnsi"/>
          <w:sz w:val="24"/>
          <w:szCs w:val="24"/>
        </w:rPr>
        <w:t>If your child is a foster child of yours.</w:t>
      </w:r>
    </w:p>
    <w:p w14:paraId="6F13E41D" w14:textId="24A32497" w:rsidR="00972D70" w:rsidRDefault="00972D70" w:rsidP="00C0745C">
      <w:pPr>
        <w:shd w:val="clear" w:color="auto" w:fill="FFFFFF"/>
        <w:spacing w:after="0" w:line="240" w:lineRule="auto"/>
        <w:rPr>
          <w:rFonts w:eastAsia="Times New Roman" w:cstheme="minorHAnsi"/>
          <w:b/>
          <w:bCs/>
          <w:sz w:val="24"/>
          <w:szCs w:val="24"/>
        </w:rPr>
      </w:pPr>
      <w:r w:rsidRPr="00972D70">
        <w:rPr>
          <w:rFonts w:eastAsia="Times New Roman" w:cstheme="minorHAnsi"/>
          <w:b/>
          <w:bCs/>
          <w:sz w:val="24"/>
          <w:szCs w:val="24"/>
        </w:rPr>
        <w:t xml:space="preserve">If your student meets the requirements for one of the Eligibility Tracks AND the Income Criteria, please complete </w:t>
      </w:r>
      <w:hyperlink r:id="rId5" w:tgtFrame="_blank" w:history="1">
        <w:r w:rsidR="00AE61D3" w:rsidRPr="00AE61D3">
          <w:rPr>
            <w:rFonts w:ascii="Arial" w:hAnsi="Arial" w:cs="Arial"/>
            <w:color w:val="1155CC"/>
            <w:u w:val="single"/>
            <w:shd w:val="clear" w:color="auto" w:fill="FFFFFF"/>
          </w:rPr>
          <w:t>Voucher Application</w:t>
        </w:r>
      </w:hyperlink>
      <w:r w:rsidR="00AE61D3">
        <w:rPr>
          <w:rFonts w:eastAsia="Times New Roman" w:cstheme="minorHAnsi"/>
          <w:b/>
          <w:bCs/>
          <w:color w:val="FF0000"/>
          <w:sz w:val="24"/>
          <w:szCs w:val="24"/>
        </w:rPr>
        <w:t xml:space="preserve"> </w:t>
      </w:r>
      <w:r w:rsidR="00092E02">
        <w:rPr>
          <w:rFonts w:eastAsia="Times New Roman" w:cstheme="minorHAnsi"/>
          <w:b/>
          <w:bCs/>
          <w:sz w:val="24"/>
          <w:szCs w:val="24"/>
        </w:rPr>
        <w:t xml:space="preserve">and </w:t>
      </w:r>
      <w:r w:rsidRPr="00972D70">
        <w:rPr>
          <w:rFonts w:eastAsia="Times New Roman" w:cstheme="minorHAnsi"/>
          <w:b/>
          <w:bCs/>
          <w:sz w:val="24"/>
          <w:szCs w:val="24"/>
        </w:rPr>
        <w:t>send i</w:t>
      </w:r>
      <w:r w:rsidR="00092E02">
        <w:rPr>
          <w:rFonts w:eastAsia="Times New Roman" w:cstheme="minorHAnsi"/>
          <w:b/>
          <w:bCs/>
          <w:sz w:val="24"/>
          <w:szCs w:val="24"/>
        </w:rPr>
        <w:t>n</w:t>
      </w:r>
      <w:r w:rsidRPr="00972D70">
        <w:rPr>
          <w:rFonts w:eastAsia="Times New Roman" w:cstheme="minorHAnsi"/>
          <w:b/>
          <w:bCs/>
          <w:sz w:val="24"/>
          <w:szCs w:val="24"/>
        </w:rPr>
        <w:t xml:space="preserve"> your 202</w:t>
      </w:r>
      <w:r w:rsidR="00092E02">
        <w:rPr>
          <w:rFonts w:eastAsia="Times New Roman" w:cstheme="minorHAnsi"/>
          <w:b/>
          <w:bCs/>
          <w:sz w:val="24"/>
          <w:szCs w:val="24"/>
        </w:rPr>
        <w:t>1</w:t>
      </w:r>
      <w:r w:rsidRPr="00972D70">
        <w:rPr>
          <w:rFonts w:eastAsia="Times New Roman" w:cstheme="minorHAnsi"/>
          <w:b/>
          <w:bCs/>
          <w:sz w:val="24"/>
          <w:szCs w:val="24"/>
        </w:rPr>
        <w:t xml:space="preserve"> Federal Tax Return</w:t>
      </w:r>
      <w:r w:rsidR="00092E02">
        <w:rPr>
          <w:rFonts w:eastAsia="Times New Roman" w:cstheme="minorHAnsi"/>
          <w:b/>
          <w:bCs/>
          <w:sz w:val="24"/>
          <w:szCs w:val="24"/>
        </w:rPr>
        <w:t>.</w:t>
      </w:r>
    </w:p>
    <w:p w14:paraId="1B0544FD" w14:textId="77777777" w:rsidR="00C0745C" w:rsidRPr="008B0035" w:rsidRDefault="00C0745C" w:rsidP="00C0745C">
      <w:pPr>
        <w:shd w:val="clear" w:color="auto" w:fill="FFFFFF"/>
        <w:spacing w:after="0" w:line="240" w:lineRule="auto"/>
        <w:rPr>
          <w:rFonts w:eastAsia="Times New Roman" w:cstheme="minorHAnsi"/>
          <w:color w:val="455560"/>
          <w:sz w:val="24"/>
          <w:szCs w:val="24"/>
        </w:rPr>
      </w:pPr>
    </w:p>
    <w:p w14:paraId="69232EAF" w14:textId="0235E8A1" w:rsidR="00972D70" w:rsidRPr="00972D70" w:rsidRDefault="00972D70" w:rsidP="00C0745C">
      <w:pPr>
        <w:shd w:val="clear" w:color="auto" w:fill="FFFFFF"/>
        <w:spacing w:after="0" w:line="240" w:lineRule="auto"/>
        <w:rPr>
          <w:rFonts w:eastAsia="Times New Roman" w:cstheme="minorHAnsi"/>
          <w:sz w:val="24"/>
          <w:szCs w:val="24"/>
        </w:rPr>
      </w:pPr>
      <w:r w:rsidRPr="00972D70">
        <w:rPr>
          <w:rFonts w:eastAsia="Times New Roman" w:cstheme="minorHAnsi"/>
          <w:b/>
          <w:bCs/>
          <w:sz w:val="24"/>
          <w:szCs w:val="24"/>
        </w:rPr>
        <w:t>If your family meets the income criteria, but your student does not qualify for one of the Eligibility Tracks, you can apply for a $500 Scholarship Granting Organization Award</w:t>
      </w:r>
      <w:r w:rsidRPr="00972D70">
        <w:rPr>
          <w:rFonts w:eastAsia="Times New Roman" w:cstheme="minorHAnsi"/>
          <w:sz w:val="24"/>
          <w:szCs w:val="24"/>
        </w:rPr>
        <w:t>. Receiving a Scholarship Granting Organization Award will provide a Track to a school choice voucher in the subsequent year provided you continue to meet the Income requirements. Please co</w:t>
      </w:r>
      <w:r w:rsidR="00540282">
        <w:rPr>
          <w:rFonts w:eastAsia="Times New Roman" w:cstheme="minorHAnsi"/>
          <w:sz w:val="24"/>
          <w:szCs w:val="24"/>
        </w:rPr>
        <w:t>ntact</w:t>
      </w:r>
      <w:r w:rsidRPr="00972D70">
        <w:rPr>
          <w:rFonts w:eastAsia="Times New Roman" w:cstheme="minorHAnsi"/>
          <w:sz w:val="24"/>
          <w:szCs w:val="24"/>
        </w:rPr>
        <w:t xml:space="preserve"> </w:t>
      </w:r>
      <w:r w:rsidR="00C3134F">
        <w:rPr>
          <w:rFonts w:eastAsia="Times New Roman" w:cstheme="minorHAnsi"/>
          <w:sz w:val="24"/>
          <w:szCs w:val="24"/>
        </w:rPr>
        <w:t>Meg Horcher</w:t>
      </w:r>
      <w:r w:rsidRPr="00972D70">
        <w:rPr>
          <w:rFonts w:eastAsia="Times New Roman" w:cstheme="minorHAnsi"/>
          <w:sz w:val="24"/>
          <w:szCs w:val="24"/>
        </w:rPr>
        <w:t> </w:t>
      </w:r>
      <w:r w:rsidR="00C3134F">
        <w:rPr>
          <w:rFonts w:eastAsia="Times New Roman" w:cstheme="minorHAnsi"/>
          <w:sz w:val="24"/>
          <w:szCs w:val="24"/>
        </w:rPr>
        <w:t>mhorcher@stbindy.org</w:t>
      </w:r>
      <w:r w:rsidRPr="00972D70">
        <w:rPr>
          <w:rFonts w:eastAsia="Times New Roman" w:cstheme="minorHAnsi"/>
          <w:sz w:val="24"/>
          <w:szCs w:val="24"/>
        </w:rPr>
        <w:t xml:space="preserve"> </w:t>
      </w:r>
      <w:r w:rsidR="00540282">
        <w:rPr>
          <w:rFonts w:eastAsia="Times New Roman" w:cstheme="minorHAnsi"/>
          <w:sz w:val="24"/>
          <w:szCs w:val="24"/>
        </w:rPr>
        <w:t>for an application.</w:t>
      </w:r>
    </w:p>
    <w:p w14:paraId="58D215BA" w14:textId="77777777" w:rsidR="00C0745C" w:rsidRDefault="00C0745C" w:rsidP="00C0745C">
      <w:pPr>
        <w:shd w:val="clear" w:color="auto" w:fill="FFFFFF"/>
        <w:spacing w:after="0" w:line="240" w:lineRule="auto"/>
        <w:rPr>
          <w:rFonts w:eastAsia="Times New Roman" w:cstheme="minorHAnsi"/>
          <w:sz w:val="24"/>
          <w:szCs w:val="24"/>
        </w:rPr>
      </w:pPr>
    </w:p>
    <w:p w14:paraId="0CE900BF" w14:textId="49747FA6" w:rsidR="00972D70" w:rsidRDefault="00972D70" w:rsidP="00C0745C">
      <w:pPr>
        <w:shd w:val="clear" w:color="auto" w:fill="FFFFFF"/>
        <w:spacing w:after="0" w:line="240" w:lineRule="auto"/>
        <w:rPr>
          <w:rFonts w:eastAsia="Times New Roman" w:cstheme="minorHAnsi"/>
          <w:sz w:val="24"/>
          <w:szCs w:val="24"/>
        </w:rPr>
      </w:pPr>
      <w:r w:rsidRPr="00972D70">
        <w:rPr>
          <w:rFonts w:eastAsia="Times New Roman" w:cstheme="minorHAnsi"/>
          <w:sz w:val="24"/>
          <w:szCs w:val="24"/>
        </w:rPr>
        <w:t xml:space="preserve">If you have any questions, please contact </w:t>
      </w:r>
      <w:r w:rsidR="00C3134F">
        <w:rPr>
          <w:rFonts w:eastAsia="Times New Roman" w:cstheme="minorHAnsi"/>
          <w:sz w:val="24"/>
          <w:szCs w:val="24"/>
        </w:rPr>
        <w:t xml:space="preserve">Meg Horcher at </w:t>
      </w:r>
      <w:hyperlink r:id="rId6" w:history="1">
        <w:r w:rsidR="00C3134F" w:rsidRPr="004264A7">
          <w:rPr>
            <w:rStyle w:val="Hyperlink"/>
            <w:rFonts w:eastAsia="Times New Roman" w:cstheme="minorHAnsi"/>
            <w:sz w:val="24"/>
            <w:szCs w:val="24"/>
          </w:rPr>
          <w:t>mhorcher@stbindy.org</w:t>
        </w:r>
      </w:hyperlink>
      <w:r w:rsidR="00092E02">
        <w:rPr>
          <w:rFonts w:eastAsia="Times New Roman" w:cstheme="minorHAnsi"/>
          <w:sz w:val="24"/>
          <w:szCs w:val="24"/>
        </w:rPr>
        <w:t>.</w:t>
      </w:r>
    </w:p>
    <w:p w14:paraId="544447FA" w14:textId="77777777" w:rsidR="00117EFE" w:rsidRDefault="00117EFE" w:rsidP="00117EFE">
      <w:pPr>
        <w:spacing w:after="0"/>
        <w:jc w:val="center"/>
        <w:rPr>
          <w:rFonts w:ascii="Arial" w:eastAsia="Arial" w:hAnsi="Arial" w:cs="Arial"/>
          <w:b/>
          <w:sz w:val="24"/>
          <w:szCs w:val="24"/>
        </w:rPr>
      </w:pPr>
      <w:r>
        <w:rPr>
          <w:rFonts w:ascii="Arial" w:eastAsia="Arial" w:hAnsi="Arial" w:cs="Arial"/>
          <w:b/>
          <w:sz w:val="24"/>
          <w:szCs w:val="24"/>
        </w:rPr>
        <w:lastRenderedPageBreak/>
        <w:t>2022-2023 CHOICE Scholarship “Voucher” Update</w:t>
      </w:r>
    </w:p>
    <w:p w14:paraId="5A8A2A1F" w14:textId="77777777" w:rsidR="00117EFE" w:rsidRDefault="00117EFE" w:rsidP="00117EFE">
      <w:pPr>
        <w:pStyle w:val="ListParagraph"/>
        <w:pBdr>
          <w:top w:val="nil"/>
          <w:left w:val="nil"/>
          <w:bottom w:val="nil"/>
          <w:right w:val="nil"/>
          <w:between w:val="nil"/>
        </w:pBdr>
        <w:spacing w:after="0"/>
        <w:ind w:left="0"/>
        <w:rPr>
          <w:rFonts w:ascii="Arial" w:eastAsia="Arial" w:hAnsi="Arial" w:cs="Arial"/>
          <w:color w:val="000000"/>
          <w:sz w:val="24"/>
          <w:szCs w:val="24"/>
        </w:rPr>
      </w:pPr>
      <w:r w:rsidRPr="0089306B">
        <w:rPr>
          <w:rFonts w:ascii="Arial" w:eastAsia="Arial" w:hAnsi="Arial" w:cs="Arial"/>
          <w:color w:val="000000"/>
          <w:sz w:val="24"/>
          <w:szCs w:val="24"/>
        </w:rPr>
        <w:t>The student application process for the State</w:t>
      </w:r>
      <w:r>
        <w:rPr>
          <w:rFonts w:ascii="Arial" w:eastAsia="Arial" w:hAnsi="Arial" w:cs="Arial"/>
          <w:color w:val="000000"/>
          <w:sz w:val="24"/>
          <w:szCs w:val="24"/>
        </w:rPr>
        <w:t xml:space="preserve"> of Indiana CHOICE “voucher” scholarship opened</w:t>
      </w:r>
      <w:r w:rsidRPr="0089306B">
        <w:rPr>
          <w:rFonts w:ascii="Arial" w:eastAsia="Arial" w:hAnsi="Arial" w:cs="Arial"/>
          <w:color w:val="000000"/>
          <w:sz w:val="24"/>
          <w:szCs w:val="24"/>
        </w:rPr>
        <w:t xml:space="preserve"> on </w:t>
      </w:r>
      <w:r>
        <w:rPr>
          <w:rFonts w:ascii="Arial" w:eastAsia="Arial" w:hAnsi="Arial" w:cs="Arial"/>
          <w:color w:val="000000"/>
          <w:sz w:val="24"/>
          <w:szCs w:val="24"/>
        </w:rPr>
        <w:t>March 1, 2022</w:t>
      </w:r>
      <w:r w:rsidRPr="0089306B">
        <w:rPr>
          <w:rFonts w:ascii="Arial" w:eastAsia="Arial" w:hAnsi="Arial" w:cs="Arial"/>
          <w:color w:val="000000"/>
          <w:sz w:val="24"/>
          <w:szCs w:val="24"/>
        </w:rPr>
        <w:t xml:space="preserve">.   </w:t>
      </w:r>
      <w:r>
        <w:rPr>
          <w:rFonts w:ascii="Arial" w:eastAsia="Arial" w:hAnsi="Arial" w:cs="Arial"/>
          <w:color w:val="000000"/>
          <w:sz w:val="24"/>
          <w:szCs w:val="24"/>
        </w:rPr>
        <w:t xml:space="preserve">More information like income guidelines and eligibility tracks are included in the attachment.  We are trying something new this year with you having to complete an online form.  Please complete this form and follow the directions for submitting your 2021 tax return and other pertinent information.  If you would prefer, you can make an appointment with Meg Horcher.  If you have any questions or wish to schedule an appointment, please feel free to reach out to Meg Horcher </w:t>
      </w:r>
      <w:hyperlink r:id="rId7" w:history="1">
        <w:r w:rsidRPr="000F5D56">
          <w:rPr>
            <w:rStyle w:val="Hyperlink"/>
            <w:rFonts w:ascii="Arial" w:eastAsia="Arial" w:hAnsi="Arial" w:cs="Arial"/>
            <w:sz w:val="24"/>
            <w:szCs w:val="24"/>
          </w:rPr>
          <w:t>mhorcher@stbindy.org</w:t>
        </w:r>
      </w:hyperlink>
      <w:r>
        <w:rPr>
          <w:rFonts w:ascii="Arial" w:eastAsia="Arial" w:hAnsi="Arial" w:cs="Arial"/>
          <w:color w:val="000000"/>
          <w:sz w:val="24"/>
          <w:szCs w:val="24"/>
        </w:rPr>
        <w:t>.</w:t>
      </w:r>
    </w:p>
    <w:p w14:paraId="017EBB1C" w14:textId="77777777" w:rsidR="00117EFE" w:rsidRDefault="00117EFE" w:rsidP="00117EFE">
      <w:pPr>
        <w:pBdr>
          <w:top w:val="nil"/>
          <w:left w:val="nil"/>
          <w:bottom w:val="nil"/>
          <w:right w:val="nil"/>
          <w:between w:val="nil"/>
        </w:pBdr>
        <w:spacing w:after="0"/>
        <w:rPr>
          <w:rFonts w:ascii="Arial" w:eastAsia="Arial" w:hAnsi="Arial" w:cs="Arial"/>
          <w:sz w:val="24"/>
          <w:szCs w:val="24"/>
        </w:rPr>
      </w:pPr>
    </w:p>
    <w:p w14:paraId="75DCDE76" w14:textId="77777777" w:rsidR="00117EFE" w:rsidRPr="00D94E7F" w:rsidRDefault="00117EFE" w:rsidP="00117EFE">
      <w:pPr>
        <w:pBdr>
          <w:top w:val="nil"/>
          <w:left w:val="nil"/>
          <w:bottom w:val="nil"/>
          <w:right w:val="nil"/>
          <w:between w:val="nil"/>
        </w:pBdr>
        <w:spacing w:after="0"/>
        <w:ind w:left="720" w:hanging="720"/>
        <w:rPr>
          <w:rFonts w:ascii="Arial" w:eastAsia="Arial" w:hAnsi="Arial" w:cs="Arial"/>
          <w:color w:val="FF0000"/>
          <w:sz w:val="24"/>
          <w:szCs w:val="24"/>
          <w:u w:val="single"/>
        </w:rPr>
      </w:pPr>
      <w:r>
        <w:rPr>
          <w:rFonts w:ascii="Arial" w:eastAsia="Arial" w:hAnsi="Arial" w:cs="Arial"/>
          <w:color w:val="000000"/>
          <w:sz w:val="24"/>
          <w:szCs w:val="24"/>
        </w:rPr>
        <w:t xml:space="preserve">Here is the link to apply for the voucher   </w:t>
      </w:r>
      <w:r>
        <w:rPr>
          <w:rFonts w:ascii="Arial" w:eastAsia="Arial" w:hAnsi="Arial" w:cs="Arial"/>
          <w:color w:val="FF0000"/>
          <w:sz w:val="24"/>
          <w:szCs w:val="24"/>
        </w:rPr>
        <w:t>link</w:t>
      </w:r>
    </w:p>
    <w:p w14:paraId="354F4509" w14:textId="77777777" w:rsidR="00117EFE" w:rsidRPr="004F2F6D" w:rsidRDefault="00117EFE" w:rsidP="00117EFE">
      <w:pPr>
        <w:pBdr>
          <w:top w:val="nil"/>
          <w:left w:val="nil"/>
          <w:bottom w:val="nil"/>
          <w:right w:val="nil"/>
          <w:between w:val="nil"/>
        </w:pBdr>
        <w:spacing w:after="0"/>
        <w:rPr>
          <w:rFonts w:ascii="Arial" w:eastAsia="Arial" w:hAnsi="Arial" w:cs="Arial"/>
          <w:sz w:val="24"/>
          <w:szCs w:val="24"/>
        </w:rPr>
      </w:pPr>
    </w:p>
    <w:p w14:paraId="3D184C80" w14:textId="77777777" w:rsidR="00117EFE" w:rsidRDefault="00117EFE" w:rsidP="00117EFE">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color w:val="000000"/>
          <w:sz w:val="24"/>
          <w:szCs w:val="24"/>
        </w:rPr>
        <w:t>Our application process reflects current law and may change after the current session of the IN General Assembly.</w:t>
      </w:r>
    </w:p>
    <w:p w14:paraId="1551CC5D" w14:textId="7E19C314" w:rsidR="00117EFE" w:rsidRDefault="00117EFE" w:rsidP="00C0745C">
      <w:pPr>
        <w:shd w:val="clear" w:color="auto" w:fill="FFFFFF"/>
        <w:spacing w:after="0" w:line="240" w:lineRule="auto"/>
        <w:rPr>
          <w:rFonts w:eastAsia="Times New Roman" w:cstheme="minorHAnsi"/>
          <w:sz w:val="24"/>
          <w:szCs w:val="24"/>
        </w:rPr>
      </w:pPr>
    </w:p>
    <w:p w14:paraId="3D5DD86B" w14:textId="77777777" w:rsidR="00117EFE" w:rsidRPr="00B958C4" w:rsidRDefault="00117EFE" w:rsidP="00C0745C">
      <w:pPr>
        <w:shd w:val="clear" w:color="auto" w:fill="FFFFFF"/>
        <w:spacing w:after="0" w:line="240" w:lineRule="auto"/>
        <w:rPr>
          <w:rFonts w:eastAsia="Times New Roman" w:cstheme="minorHAnsi"/>
          <w:sz w:val="24"/>
          <w:szCs w:val="24"/>
        </w:rPr>
      </w:pPr>
    </w:p>
    <w:sectPr w:rsidR="00117EFE" w:rsidRPr="00B958C4" w:rsidSect="00B958C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337"/>
    <w:multiLevelType w:val="multilevel"/>
    <w:tmpl w:val="7814F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06907"/>
    <w:multiLevelType w:val="hybridMultilevel"/>
    <w:tmpl w:val="A57ACA58"/>
    <w:lvl w:ilvl="0" w:tplc="C894876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3756D"/>
    <w:multiLevelType w:val="hybridMultilevel"/>
    <w:tmpl w:val="B99AEDFE"/>
    <w:lvl w:ilvl="0" w:tplc="E326A506">
      <w:start w:val="1"/>
      <w:numFmt w:val="decimal"/>
      <w:lvlText w:val="%1."/>
      <w:lvlJc w:val="left"/>
      <w:pPr>
        <w:ind w:left="405" w:hanging="360"/>
      </w:pPr>
      <w:rPr>
        <w:rFonts w:cstheme="minorHAnsi" w:hint="default"/>
        <w:b/>
        <w:bCs/>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67945CDF"/>
    <w:multiLevelType w:val="hybridMultilevel"/>
    <w:tmpl w:val="15A0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E030D"/>
    <w:multiLevelType w:val="hybridMultilevel"/>
    <w:tmpl w:val="69125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70"/>
    <w:rsid w:val="00092E02"/>
    <w:rsid w:val="00117EFE"/>
    <w:rsid w:val="001244C9"/>
    <w:rsid w:val="00157CA0"/>
    <w:rsid w:val="001A4013"/>
    <w:rsid w:val="002F059A"/>
    <w:rsid w:val="003A1935"/>
    <w:rsid w:val="003D0B42"/>
    <w:rsid w:val="003E72D8"/>
    <w:rsid w:val="0042408C"/>
    <w:rsid w:val="00540282"/>
    <w:rsid w:val="005A00D8"/>
    <w:rsid w:val="006A107C"/>
    <w:rsid w:val="0074217F"/>
    <w:rsid w:val="007B41C2"/>
    <w:rsid w:val="007E6D97"/>
    <w:rsid w:val="008A1C65"/>
    <w:rsid w:val="008B0035"/>
    <w:rsid w:val="00972D70"/>
    <w:rsid w:val="009C35A9"/>
    <w:rsid w:val="00A22999"/>
    <w:rsid w:val="00A30FF6"/>
    <w:rsid w:val="00A47BF6"/>
    <w:rsid w:val="00AA0AE1"/>
    <w:rsid w:val="00AE61D3"/>
    <w:rsid w:val="00B03CE3"/>
    <w:rsid w:val="00B958C4"/>
    <w:rsid w:val="00C0745C"/>
    <w:rsid w:val="00C3134F"/>
    <w:rsid w:val="00D22952"/>
    <w:rsid w:val="00D761E7"/>
    <w:rsid w:val="00D8124A"/>
    <w:rsid w:val="00D87D9B"/>
    <w:rsid w:val="00E0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98A5"/>
  <w15:chartTrackingRefBased/>
  <w15:docId w15:val="{6DD33F86-AB77-436A-A279-41365284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D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2D70"/>
    <w:pPr>
      <w:ind w:left="720"/>
      <w:contextualSpacing/>
    </w:pPr>
  </w:style>
  <w:style w:type="character" w:styleId="Hyperlink">
    <w:name w:val="Hyperlink"/>
    <w:basedOn w:val="DefaultParagraphFont"/>
    <w:uiPriority w:val="99"/>
    <w:unhideWhenUsed/>
    <w:rsid w:val="00C3134F"/>
    <w:rPr>
      <w:color w:val="0563C1" w:themeColor="hyperlink"/>
      <w:u w:val="single"/>
    </w:rPr>
  </w:style>
  <w:style w:type="character" w:styleId="UnresolvedMention">
    <w:name w:val="Unresolved Mention"/>
    <w:basedOn w:val="DefaultParagraphFont"/>
    <w:uiPriority w:val="99"/>
    <w:semiHidden/>
    <w:unhideWhenUsed/>
    <w:rsid w:val="00C3134F"/>
    <w:rPr>
      <w:color w:val="605E5C"/>
      <w:shd w:val="clear" w:color="auto" w:fill="E1DFDD"/>
    </w:rPr>
  </w:style>
  <w:style w:type="table" w:styleId="TableGrid">
    <w:name w:val="Table Grid"/>
    <w:basedOn w:val="TableNormal"/>
    <w:uiPriority w:val="39"/>
    <w:rsid w:val="00E07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12839">
      <w:bodyDiv w:val="1"/>
      <w:marLeft w:val="0"/>
      <w:marRight w:val="0"/>
      <w:marTop w:val="0"/>
      <w:marBottom w:val="0"/>
      <w:divBdr>
        <w:top w:val="none" w:sz="0" w:space="0" w:color="auto"/>
        <w:left w:val="none" w:sz="0" w:space="0" w:color="auto"/>
        <w:bottom w:val="none" w:sz="0" w:space="0" w:color="auto"/>
        <w:right w:val="none" w:sz="0" w:space="0" w:color="auto"/>
      </w:divBdr>
      <w:divsChild>
        <w:div w:id="169622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77318">
              <w:marLeft w:val="0"/>
              <w:marRight w:val="0"/>
              <w:marTop w:val="0"/>
              <w:marBottom w:val="0"/>
              <w:divBdr>
                <w:top w:val="none" w:sz="0" w:space="0" w:color="auto"/>
                <w:left w:val="none" w:sz="0" w:space="0" w:color="auto"/>
                <w:bottom w:val="none" w:sz="0" w:space="0" w:color="auto"/>
                <w:right w:val="none" w:sz="0" w:space="0" w:color="auto"/>
              </w:divBdr>
              <w:divsChild>
                <w:div w:id="1719469101">
                  <w:marLeft w:val="0"/>
                  <w:marRight w:val="0"/>
                  <w:marTop w:val="0"/>
                  <w:marBottom w:val="0"/>
                  <w:divBdr>
                    <w:top w:val="none" w:sz="0" w:space="0" w:color="auto"/>
                    <w:left w:val="none" w:sz="0" w:space="0" w:color="auto"/>
                    <w:bottom w:val="none" w:sz="0" w:space="0" w:color="auto"/>
                    <w:right w:val="none" w:sz="0" w:space="0" w:color="auto"/>
                  </w:divBdr>
                  <w:divsChild>
                    <w:div w:id="984624427">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40245299">
      <w:bodyDiv w:val="1"/>
      <w:marLeft w:val="0"/>
      <w:marRight w:val="0"/>
      <w:marTop w:val="0"/>
      <w:marBottom w:val="0"/>
      <w:divBdr>
        <w:top w:val="none" w:sz="0" w:space="0" w:color="auto"/>
        <w:left w:val="none" w:sz="0" w:space="0" w:color="auto"/>
        <w:bottom w:val="none" w:sz="0" w:space="0" w:color="auto"/>
        <w:right w:val="none" w:sz="0" w:space="0" w:color="auto"/>
      </w:divBdr>
      <w:divsChild>
        <w:div w:id="1135217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679388">
              <w:marLeft w:val="0"/>
              <w:marRight w:val="0"/>
              <w:marTop w:val="0"/>
              <w:marBottom w:val="0"/>
              <w:divBdr>
                <w:top w:val="none" w:sz="0" w:space="0" w:color="auto"/>
                <w:left w:val="none" w:sz="0" w:space="0" w:color="auto"/>
                <w:bottom w:val="none" w:sz="0" w:space="0" w:color="auto"/>
                <w:right w:val="none" w:sz="0" w:space="0" w:color="auto"/>
              </w:divBdr>
              <w:divsChild>
                <w:div w:id="395708666">
                  <w:marLeft w:val="0"/>
                  <w:marRight w:val="0"/>
                  <w:marTop w:val="0"/>
                  <w:marBottom w:val="0"/>
                  <w:divBdr>
                    <w:top w:val="none" w:sz="0" w:space="0" w:color="auto"/>
                    <w:left w:val="none" w:sz="0" w:space="0" w:color="auto"/>
                    <w:bottom w:val="none" w:sz="0" w:space="0" w:color="auto"/>
                    <w:right w:val="none" w:sz="0" w:space="0" w:color="auto"/>
                  </w:divBdr>
                  <w:divsChild>
                    <w:div w:id="1331712400">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132750122">
      <w:bodyDiv w:val="1"/>
      <w:marLeft w:val="0"/>
      <w:marRight w:val="0"/>
      <w:marTop w:val="0"/>
      <w:marBottom w:val="0"/>
      <w:divBdr>
        <w:top w:val="none" w:sz="0" w:space="0" w:color="auto"/>
        <w:left w:val="none" w:sz="0" w:space="0" w:color="auto"/>
        <w:bottom w:val="none" w:sz="0" w:space="0" w:color="auto"/>
        <w:right w:val="none" w:sz="0" w:space="0" w:color="auto"/>
      </w:divBdr>
      <w:divsChild>
        <w:div w:id="181600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01157">
              <w:marLeft w:val="0"/>
              <w:marRight w:val="0"/>
              <w:marTop w:val="0"/>
              <w:marBottom w:val="0"/>
              <w:divBdr>
                <w:top w:val="none" w:sz="0" w:space="0" w:color="auto"/>
                <w:left w:val="none" w:sz="0" w:space="0" w:color="auto"/>
                <w:bottom w:val="none" w:sz="0" w:space="0" w:color="auto"/>
                <w:right w:val="none" w:sz="0" w:space="0" w:color="auto"/>
              </w:divBdr>
              <w:divsChild>
                <w:div w:id="1687900763">
                  <w:marLeft w:val="0"/>
                  <w:marRight w:val="0"/>
                  <w:marTop w:val="0"/>
                  <w:marBottom w:val="0"/>
                  <w:divBdr>
                    <w:top w:val="none" w:sz="0" w:space="0" w:color="auto"/>
                    <w:left w:val="none" w:sz="0" w:space="0" w:color="auto"/>
                    <w:bottom w:val="none" w:sz="0" w:space="0" w:color="auto"/>
                    <w:right w:val="none" w:sz="0" w:space="0" w:color="auto"/>
                  </w:divBdr>
                  <w:divsChild>
                    <w:div w:id="2047175500">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orcher@stbind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orcher@stbindy.org" TargetMode="External"/><Relationship Id="rId5" Type="http://schemas.openxmlformats.org/officeDocument/2006/relationships/hyperlink" Target="https://forms.gle/QFJM3w8g8jwyvMh4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Horcher</dc:creator>
  <cp:keywords/>
  <dc:description/>
  <cp:lastModifiedBy>Laura Bridgewater</cp:lastModifiedBy>
  <cp:revision>27</cp:revision>
  <cp:lastPrinted>2022-03-03T15:06:00Z</cp:lastPrinted>
  <dcterms:created xsi:type="dcterms:W3CDTF">2022-03-02T19:51:00Z</dcterms:created>
  <dcterms:modified xsi:type="dcterms:W3CDTF">2022-03-04T11:24:00Z</dcterms:modified>
</cp:coreProperties>
</file>